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Ind w:w="-601" w:type="dxa"/>
        <w:shd w:val="clear" w:color="auto" w:fill="FFFFFF"/>
        <w:tblCellMar>
          <w:left w:w="0" w:type="dxa"/>
          <w:right w:w="0" w:type="dxa"/>
        </w:tblCellMar>
        <w:tblLook w:val="04A0" w:firstRow="1" w:lastRow="0" w:firstColumn="1" w:lastColumn="0" w:noHBand="0" w:noVBand="1"/>
      </w:tblPr>
      <w:tblGrid>
        <w:gridCol w:w="3949"/>
        <w:gridCol w:w="6683"/>
      </w:tblGrid>
      <w:tr w:rsidR="004E685C" w:rsidRPr="004E685C" w:rsidTr="004E685C">
        <w:trPr>
          <w:tblCellSpacing w:w="0" w:type="dxa"/>
        </w:trPr>
        <w:tc>
          <w:tcPr>
            <w:tcW w:w="3949" w:type="dxa"/>
            <w:shd w:val="clear" w:color="auto" w:fill="FFFFFF"/>
            <w:tcMar>
              <w:top w:w="0" w:type="dxa"/>
              <w:left w:w="108" w:type="dxa"/>
              <w:bottom w:w="0" w:type="dxa"/>
              <w:right w:w="108" w:type="dxa"/>
            </w:tcMar>
            <w:hideMark/>
          </w:tcPr>
          <w:p w:rsidR="004E685C" w:rsidRPr="004E685C" w:rsidRDefault="004E685C" w:rsidP="004E685C">
            <w:pPr>
              <w:spacing w:before="120" w:after="120" w:line="234" w:lineRule="atLeast"/>
              <w:jc w:val="center"/>
              <w:rPr>
                <w:rFonts w:ascii="Times New Roman" w:eastAsia="Times New Roman" w:hAnsi="Times New Roman" w:cs="Times New Roman"/>
                <w:color w:val="000000"/>
                <w:sz w:val="28"/>
                <w:szCs w:val="28"/>
              </w:rPr>
            </w:pPr>
            <w:r w:rsidRPr="004E685C">
              <w:rPr>
                <w:rFonts w:ascii="Times New Roman" w:eastAsia="Times New Roman" w:hAnsi="Times New Roman" w:cs="Times New Roman"/>
                <w:b/>
                <w:bCs/>
                <w:color w:val="000000"/>
                <w:sz w:val="28"/>
                <w:szCs w:val="28"/>
                <w:lang w:val="vi-VN"/>
              </w:rPr>
              <w:t>BỘ GIÁO DỤC VÀ ĐÀO TẠO</w:t>
            </w:r>
            <w:r w:rsidRPr="004E685C">
              <w:rPr>
                <w:rFonts w:ascii="Times New Roman" w:eastAsia="Times New Roman" w:hAnsi="Times New Roman" w:cs="Times New Roman"/>
                <w:b/>
                <w:bCs/>
                <w:color w:val="000000"/>
                <w:sz w:val="28"/>
                <w:szCs w:val="28"/>
                <w:lang w:val="vi-VN"/>
              </w:rPr>
              <w:br/>
              <w:t>-------</w:t>
            </w:r>
          </w:p>
        </w:tc>
        <w:tc>
          <w:tcPr>
            <w:tcW w:w="6683" w:type="dxa"/>
            <w:shd w:val="clear" w:color="auto" w:fill="FFFFFF"/>
            <w:tcMar>
              <w:top w:w="0" w:type="dxa"/>
              <w:left w:w="108" w:type="dxa"/>
              <w:bottom w:w="0" w:type="dxa"/>
              <w:right w:w="108" w:type="dxa"/>
            </w:tcMar>
            <w:hideMark/>
          </w:tcPr>
          <w:p w:rsidR="004E685C" w:rsidRPr="004E685C" w:rsidRDefault="004E685C" w:rsidP="004E685C">
            <w:pPr>
              <w:spacing w:before="120" w:after="120" w:line="234" w:lineRule="atLeast"/>
              <w:jc w:val="center"/>
              <w:rPr>
                <w:rFonts w:ascii="Times New Roman" w:eastAsia="Times New Roman" w:hAnsi="Times New Roman" w:cs="Times New Roman"/>
                <w:color w:val="000000"/>
                <w:sz w:val="28"/>
                <w:szCs w:val="28"/>
              </w:rPr>
            </w:pPr>
            <w:r w:rsidRPr="004E685C">
              <w:rPr>
                <w:rFonts w:ascii="Times New Roman" w:eastAsia="Times New Roman" w:hAnsi="Times New Roman" w:cs="Times New Roman"/>
                <w:b/>
                <w:bCs/>
                <w:color w:val="000000"/>
                <w:sz w:val="28"/>
                <w:szCs w:val="28"/>
                <w:lang w:val="vi-VN"/>
              </w:rPr>
              <w:t>CỘNG HÒA XÃ HỘI CHỦ NGHĨA VIỆT NAM</w:t>
            </w:r>
            <w:r w:rsidRPr="004E685C">
              <w:rPr>
                <w:rFonts w:ascii="Times New Roman" w:eastAsia="Times New Roman" w:hAnsi="Times New Roman" w:cs="Times New Roman"/>
                <w:b/>
                <w:bCs/>
                <w:color w:val="000000"/>
                <w:sz w:val="28"/>
                <w:szCs w:val="28"/>
                <w:lang w:val="vi-VN"/>
              </w:rPr>
              <w:br/>
              <w:t>Độc lập - Tự do - Hạnh phúc </w:t>
            </w:r>
            <w:r w:rsidRPr="004E685C">
              <w:rPr>
                <w:rFonts w:ascii="Times New Roman" w:eastAsia="Times New Roman" w:hAnsi="Times New Roman" w:cs="Times New Roman"/>
                <w:b/>
                <w:bCs/>
                <w:color w:val="000000"/>
                <w:sz w:val="28"/>
                <w:szCs w:val="28"/>
                <w:lang w:val="vi-VN"/>
              </w:rPr>
              <w:br/>
              <w:t>---------------</w:t>
            </w:r>
          </w:p>
        </w:tc>
      </w:tr>
      <w:tr w:rsidR="004E685C" w:rsidRPr="004E685C" w:rsidTr="004E685C">
        <w:trPr>
          <w:tblCellSpacing w:w="0" w:type="dxa"/>
        </w:trPr>
        <w:tc>
          <w:tcPr>
            <w:tcW w:w="3949" w:type="dxa"/>
            <w:shd w:val="clear" w:color="auto" w:fill="FFFFFF"/>
            <w:tcMar>
              <w:top w:w="0" w:type="dxa"/>
              <w:left w:w="108" w:type="dxa"/>
              <w:bottom w:w="0" w:type="dxa"/>
              <w:right w:w="108" w:type="dxa"/>
            </w:tcMar>
            <w:hideMark/>
          </w:tcPr>
          <w:p w:rsidR="004E685C" w:rsidRPr="004E685C" w:rsidRDefault="004E685C" w:rsidP="004E685C">
            <w:pPr>
              <w:spacing w:before="120" w:after="120" w:line="234" w:lineRule="atLeast"/>
              <w:jc w:val="center"/>
              <w:rPr>
                <w:rFonts w:ascii="Times New Roman" w:eastAsia="Times New Roman" w:hAnsi="Times New Roman" w:cs="Times New Roman"/>
                <w:color w:val="000000"/>
                <w:sz w:val="28"/>
                <w:szCs w:val="28"/>
              </w:rPr>
            </w:pPr>
            <w:r w:rsidRPr="004E685C">
              <w:rPr>
                <w:rFonts w:ascii="Times New Roman" w:eastAsia="Times New Roman" w:hAnsi="Times New Roman" w:cs="Times New Roman"/>
                <w:color w:val="000000"/>
                <w:sz w:val="28"/>
                <w:szCs w:val="28"/>
                <w:lang w:val="vi-VN"/>
              </w:rPr>
              <w:t>Số: 3712/BGDĐT-CSVC</w:t>
            </w:r>
            <w:r w:rsidRPr="004E685C">
              <w:rPr>
                <w:rFonts w:ascii="Times New Roman" w:eastAsia="Times New Roman" w:hAnsi="Times New Roman" w:cs="Times New Roman"/>
                <w:color w:val="000000"/>
                <w:sz w:val="28"/>
                <w:szCs w:val="28"/>
              </w:rPr>
              <w:br/>
            </w:r>
            <w:r w:rsidRPr="004E685C">
              <w:rPr>
                <w:rFonts w:ascii="Times New Roman" w:eastAsia="Times New Roman" w:hAnsi="Times New Roman" w:cs="Times New Roman"/>
                <w:i/>
                <w:iCs/>
                <w:color w:val="000000"/>
                <w:sz w:val="28"/>
                <w:szCs w:val="28"/>
                <w:lang w:val="vi-VN"/>
              </w:rPr>
              <w:t>V/v hướng dẫn thực hiện rà soát, sắp xếp, tổ chức lại các cơ sở giáo dục mầm non, phổ thông</w:t>
            </w:r>
          </w:p>
        </w:tc>
        <w:tc>
          <w:tcPr>
            <w:tcW w:w="6683" w:type="dxa"/>
            <w:shd w:val="clear" w:color="auto" w:fill="FFFFFF"/>
            <w:tcMar>
              <w:top w:w="0" w:type="dxa"/>
              <w:left w:w="108" w:type="dxa"/>
              <w:bottom w:w="0" w:type="dxa"/>
              <w:right w:w="108" w:type="dxa"/>
            </w:tcMar>
            <w:hideMark/>
          </w:tcPr>
          <w:p w:rsidR="004E685C" w:rsidRPr="004E685C" w:rsidRDefault="004E685C" w:rsidP="004E685C">
            <w:pPr>
              <w:spacing w:before="120" w:after="120" w:line="234" w:lineRule="atLeast"/>
              <w:jc w:val="center"/>
              <w:rPr>
                <w:rFonts w:ascii="Times New Roman" w:eastAsia="Times New Roman" w:hAnsi="Times New Roman" w:cs="Times New Roman"/>
                <w:color w:val="000000"/>
                <w:sz w:val="28"/>
                <w:szCs w:val="28"/>
              </w:rPr>
            </w:pPr>
            <w:r w:rsidRPr="004E685C">
              <w:rPr>
                <w:rFonts w:ascii="Times New Roman" w:eastAsia="Times New Roman" w:hAnsi="Times New Roman" w:cs="Times New Roman"/>
                <w:i/>
                <w:iCs/>
                <w:color w:val="000000"/>
                <w:sz w:val="28"/>
                <w:szCs w:val="28"/>
                <w:lang w:val="vi-VN"/>
              </w:rPr>
              <w:t>Hà Nội, ngày </w:t>
            </w:r>
            <w:r w:rsidRPr="004E685C">
              <w:rPr>
                <w:rFonts w:ascii="Times New Roman" w:eastAsia="Times New Roman" w:hAnsi="Times New Roman" w:cs="Times New Roman"/>
                <w:i/>
                <w:iCs/>
                <w:color w:val="000000"/>
                <w:sz w:val="28"/>
                <w:szCs w:val="28"/>
              </w:rPr>
              <w:t>24</w:t>
            </w:r>
            <w:r w:rsidRPr="004E685C">
              <w:rPr>
                <w:rFonts w:ascii="Times New Roman" w:eastAsia="Times New Roman" w:hAnsi="Times New Roman" w:cs="Times New Roman"/>
                <w:i/>
                <w:iCs/>
                <w:color w:val="000000"/>
                <w:sz w:val="28"/>
                <w:szCs w:val="28"/>
                <w:lang w:val="vi-VN"/>
              </w:rPr>
              <w:t> tháng </w:t>
            </w:r>
            <w:r w:rsidRPr="004E685C">
              <w:rPr>
                <w:rFonts w:ascii="Times New Roman" w:eastAsia="Times New Roman" w:hAnsi="Times New Roman" w:cs="Times New Roman"/>
                <w:i/>
                <w:iCs/>
                <w:color w:val="000000"/>
                <w:sz w:val="28"/>
                <w:szCs w:val="28"/>
              </w:rPr>
              <w:t>08</w:t>
            </w:r>
            <w:r w:rsidRPr="004E685C">
              <w:rPr>
                <w:rFonts w:ascii="Times New Roman" w:eastAsia="Times New Roman" w:hAnsi="Times New Roman" w:cs="Times New Roman"/>
                <w:i/>
                <w:iCs/>
                <w:color w:val="000000"/>
                <w:sz w:val="28"/>
                <w:szCs w:val="28"/>
                <w:lang w:val="vi-VN"/>
              </w:rPr>
              <w:t> năm </w:t>
            </w:r>
            <w:r w:rsidRPr="004E685C">
              <w:rPr>
                <w:rFonts w:ascii="Times New Roman" w:eastAsia="Times New Roman" w:hAnsi="Times New Roman" w:cs="Times New Roman"/>
                <w:i/>
                <w:iCs/>
                <w:color w:val="000000"/>
                <w:sz w:val="28"/>
                <w:szCs w:val="28"/>
              </w:rPr>
              <w:t>2018</w:t>
            </w:r>
          </w:p>
        </w:tc>
      </w:tr>
    </w:tbl>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4E685C">
        <w:rPr>
          <w:rFonts w:ascii="Times New Roman" w:eastAsia="Times New Roman" w:hAnsi="Times New Roman" w:cs="Times New Roman"/>
          <w:color w:val="000000"/>
          <w:sz w:val="28"/>
          <w:szCs w:val="28"/>
        </w:rPr>
        <w:t> </w:t>
      </w:r>
    </w:p>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4E685C">
        <w:rPr>
          <w:rFonts w:ascii="Times New Roman" w:eastAsia="Times New Roman" w:hAnsi="Times New Roman" w:cs="Times New Roman"/>
          <w:b/>
          <w:bCs/>
          <w:color w:val="000000"/>
          <w:sz w:val="28"/>
          <w:szCs w:val="28"/>
          <w:lang w:val="vi-VN"/>
        </w:rPr>
        <w:t>Kính gửi:</w:t>
      </w:r>
      <w:r w:rsidRPr="004E685C">
        <w:rPr>
          <w:rFonts w:ascii="Times New Roman" w:eastAsia="Times New Roman" w:hAnsi="Times New Roman" w:cs="Times New Roman"/>
          <w:color w:val="000000"/>
          <w:sz w:val="28"/>
          <w:szCs w:val="28"/>
          <w:lang w:val="vi-VN"/>
        </w:rPr>
        <w:t> Ủy ban nhân dân các tỉnh/thành phố trực thuộc Trung ương</w:t>
      </w:r>
    </w:p>
    <w:p w:rsidR="004E685C" w:rsidRPr="004E685C" w:rsidRDefault="004E685C" w:rsidP="004E685C">
      <w:pPr>
        <w:shd w:val="clear" w:color="auto" w:fill="FFFFFF"/>
        <w:spacing w:after="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Thực hiện Nghị quyết số 19-NQ/TW ngày 25/10/2017 Hội nghị lần thứ 6 Ban Chấp hành Trung ương khóa XII (Nghị quyết số 19/NQ-TW) và Nghị quyết số </w:t>
      </w:r>
      <w:hyperlink r:id="rId7" w:tgtFrame="_blank" w:tooltip="Nghị quyết 08/NQ-CP" w:history="1">
        <w:r w:rsidRPr="004E685C">
          <w:rPr>
            <w:rFonts w:ascii="Times New Roman" w:eastAsia="Times New Roman" w:hAnsi="Times New Roman" w:cs="Times New Roman"/>
            <w:color w:val="0E70C3"/>
            <w:sz w:val="28"/>
            <w:szCs w:val="28"/>
            <w:lang w:val="vi-VN"/>
          </w:rPr>
          <w:t>08/NQ-CP</w:t>
        </w:r>
      </w:hyperlink>
      <w:r w:rsidRPr="004E685C">
        <w:rPr>
          <w:rFonts w:ascii="Times New Roman" w:eastAsia="Times New Roman" w:hAnsi="Times New Roman" w:cs="Times New Roman"/>
          <w:color w:val="000000"/>
          <w:sz w:val="28"/>
          <w:szCs w:val="28"/>
          <w:lang w:val="vi-VN"/>
        </w:rPr>
        <w:t> ngày 24/01/2018 (Nghị quyết số 08/NQ-CP) về Chương trình hành động của Chính phủ thực hiện Nghị quyết số 19-NQ/TW, nhi</w:t>
      </w:r>
      <w:r w:rsidRPr="004E685C">
        <w:rPr>
          <w:rFonts w:ascii="Times New Roman" w:eastAsia="Times New Roman" w:hAnsi="Times New Roman" w:cs="Times New Roman"/>
          <w:color w:val="000000"/>
          <w:sz w:val="28"/>
          <w:szCs w:val="28"/>
        </w:rPr>
        <w:t>ề</w:t>
      </w:r>
      <w:r w:rsidRPr="004E685C">
        <w:rPr>
          <w:rFonts w:ascii="Times New Roman" w:eastAsia="Times New Roman" w:hAnsi="Times New Roman" w:cs="Times New Roman"/>
          <w:color w:val="000000"/>
          <w:sz w:val="28"/>
          <w:szCs w:val="28"/>
          <w:lang w:val="vi-VN"/>
        </w:rPr>
        <w:t>u địa phương đã quan tâm chỉ đạo thực hiện việc sắp xếp, tổ chức lại các đơn vị sự nghiệp công lập đối với lĩnh vực giáo dục và đào tạo. Kết quả nhiều điểm trường và trường có quy mô nhỏ ở các cấp học mầm non, phổ thông được sắp xếp, tổ chức lại phù hợp với nhu cầu và Điều kiện thực tế của mỗi đơn vị, địa phương, gắn với nâng cao chất lượng giáo dục.</w:t>
      </w:r>
    </w:p>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Tuy nhiên, trong quá trình thực hiện, tại một số địa phương còn có những khó khăn, bất cập, dẫn đến việc triển khai thiếu đồng bộ, gây lãng phí và ảnh hưởng đến chất lượng giáo dục.</w:t>
      </w:r>
    </w:p>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Để khắc phục những hạn chế, tạo sự đồng bộ trong công tác chỉ đạo và tổ chức thực hiện việc sắp xếp, tổ chức lại các cơ sở giáo dục mầm non, phổ thông đảm bảo hiệu quả đúng tinh thần của Nghị quyết số 19/NQ-TW và Nghị quyết số 08/NQ-CP, Bộ Giáo dục và Đào tạo đề nghị Ủy ban nhân dân các tỉnh/thành phố trực thuộc Trung ương chỉ đạo các cơ quan liên quan thực hiện theo một số nguyên tắc sau:</w:t>
      </w:r>
    </w:p>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b/>
          <w:bCs/>
          <w:color w:val="000000"/>
          <w:sz w:val="28"/>
          <w:szCs w:val="28"/>
          <w:lang w:val="vi-VN"/>
        </w:rPr>
        <w:t>1. Đối với việc dồn dịch các điểm trường và sáp nhập các trường có quy mô nhỏ</w:t>
      </w:r>
    </w:p>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Trước nhất cần thực hiện rà soát thực trạng cơ sở vật chất, thiết bị dạy học; đánh giá thực trạng các điểm trường lẻ, các trường có quy mô nhỏ; xây dựng lộ trình cụ thể, phù hợp để triển khai sắp xếp các trường mầm non, tiểu học trung học cơ sở (về Điều kiện địa lý, giao thông, số lượng lớp/trường thấp, bố trí điểm lẻ chưa hợp lý) và bố trí số lượng học sinh/lớp theo quy định;</w:t>
      </w:r>
    </w:p>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Việc dồn dịch, sáp nhập các điểm trường, trường có quy mô nhỏ phải được thực hiện trên nguyên tắc tạo thuận lợi cho người dân, đảm bảo quyền lợi học tập của học sinh; phù hợp với quy hoạch, yêu cầu phát triển kinh tế - xã hội của địa phương, gắn với mục tiêu xây dựng nông thôn mới, góp phần nâng cao chất lượng giáo dục;</w:t>
      </w:r>
    </w:p>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Khắc phục tình trạng trường lớp có quy mô nhỏ và chất lượng giáo dục chưa cao, từ đó có Điều kiện tập trung đầu tư nguồn lực kể cả về đội ngũ cán bộ, giáo viên, nhân viên và cơ sở vật chất, thiết bị dạy học đáp ứng yêu cầu phát triển giáo dục;</w:t>
      </w:r>
    </w:p>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lastRenderedPageBreak/>
        <w:t>- Đảm bảo sĩ số học sinh/lớp theo quy định; đồng thời có giải pháp phù hợp thuận lợi, an toàn cho việc đi lại của học sinh khi đến trường; không để xảy ra tình trạng học sinh bỏ học do phải đi lại quá xa;</w:t>
      </w:r>
    </w:p>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Các cơ sở giáo dục thuộc diện dồn dịch điểm lẻ cần chuẩn bị đủ cơ sở vật chất (phòng học, phòng ở bán trú, nhà làm việc, nhà công vụ, các công trình bếp, nhà ăn, nhà vệ sinh, hệ thống điện nước...), đặc biệt đối với các trường bán trú và cấp học mầm non, nhằm bảo đảm duy trì, nâng cao chất lượng giáo dục;</w:t>
      </w:r>
    </w:p>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Chỉ sáp nhập đối với những trường có đủ Điều kiện về cơ sở vật chất, thuận lợi về Khoảng cách giữa các điểm trường; quan tâm bồi dưỡng, nâng cao chất lượng đội ngũ giáo viên, cán bộ quản lý các trường sau sáp nhập;</w:t>
      </w:r>
    </w:p>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Chỉ sáp nhập các trường có quy mô nhỏ ở cùng địa bàn cấp xã; các trường tiểu học có quy mô dưới 10 lớp, xem xét ghép với trường trung học cơ sở trên cùng địa bàn xã; các xã có 2 đến 3 trường tiểu học, xem xét sáp nhập thành một trường nhưng phải đảm bảo đủ Điều kiện cơ sở vật chất, đội ngũ giáo viên;</w:t>
      </w:r>
    </w:p>
    <w:p w:rsidR="004E685C" w:rsidRPr="004E685C"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Việc sáp nhập để hình thành các trường có nhiều cấp học phải phân khu vực riêng biệt cho từng cấp học nhằm đảm bảo tính đặc thù (về thời lượng tiết học, hình thức tổ chức dạy học...) tránh làm ảnh hưởng đến hoạt động dạy và học của mỗi cấp học;</w:t>
      </w:r>
    </w:p>
    <w:p w:rsidR="004E685C" w:rsidRPr="006F14E5"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Không sáp nhập các cơ sở giáo dục mầm non với các cơ sở giáo dục phổ thông;</w:t>
      </w:r>
    </w:p>
    <w:p w:rsidR="004E685C" w:rsidRPr="006F14E5"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Chuyển đổi mục đích sử dụng đất đai, cơ sở vật chất tại những điểm trường được chuyển đi đảm bảo phù hợp với quy hoạch, hiệu quả, tránh lãn</w:t>
      </w:r>
      <w:r w:rsidRPr="006F14E5">
        <w:rPr>
          <w:rFonts w:ascii="Times New Roman" w:eastAsia="Times New Roman" w:hAnsi="Times New Roman" w:cs="Times New Roman"/>
          <w:color w:val="000000"/>
          <w:sz w:val="28"/>
          <w:szCs w:val="28"/>
          <w:lang w:val="vi-VN"/>
        </w:rPr>
        <w:t>g</w:t>
      </w:r>
      <w:r w:rsidRPr="004E685C">
        <w:rPr>
          <w:rFonts w:ascii="Times New Roman" w:eastAsia="Times New Roman" w:hAnsi="Times New Roman" w:cs="Times New Roman"/>
          <w:color w:val="000000"/>
          <w:sz w:val="28"/>
          <w:szCs w:val="28"/>
          <w:lang w:val="vi-VN"/>
        </w:rPr>
        <w:t> phí.</w:t>
      </w:r>
    </w:p>
    <w:p w:rsidR="004E685C" w:rsidRPr="006F14E5"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b/>
          <w:bCs/>
          <w:color w:val="000000"/>
          <w:sz w:val="28"/>
          <w:szCs w:val="28"/>
          <w:lang w:val="vi-VN"/>
        </w:rPr>
        <w:t>2. Về </w:t>
      </w:r>
      <w:r w:rsidRPr="006F14E5">
        <w:rPr>
          <w:rFonts w:ascii="Times New Roman" w:eastAsia="Times New Roman" w:hAnsi="Times New Roman" w:cs="Times New Roman"/>
          <w:b/>
          <w:bCs/>
          <w:color w:val="000000"/>
          <w:sz w:val="28"/>
          <w:szCs w:val="28"/>
          <w:lang w:val="vi-VN"/>
        </w:rPr>
        <w:t>cơ </w:t>
      </w:r>
      <w:r w:rsidRPr="004E685C">
        <w:rPr>
          <w:rFonts w:ascii="Times New Roman" w:eastAsia="Times New Roman" w:hAnsi="Times New Roman" w:cs="Times New Roman"/>
          <w:b/>
          <w:bCs/>
          <w:color w:val="000000"/>
          <w:sz w:val="28"/>
          <w:szCs w:val="28"/>
          <w:lang w:val="vi-VN"/>
        </w:rPr>
        <w:t>chế, chính sách</w:t>
      </w:r>
    </w:p>
    <w:p w:rsidR="004E685C" w:rsidRPr="006F14E5"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Chính quyền các cấp ở địa phương cần có những giải pháp, cơ chế, chính sách phù hợp, cụ thể:</w:t>
      </w:r>
    </w:p>
    <w:p w:rsidR="004E685C" w:rsidRPr="006F14E5"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Bố trí, sắp xếp và giải quyết đầy đủ chế độ, chính sách cho giáo viên, nhân viên, cán bộ quản lý theo đúng quy định;</w:t>
      </w:r>
    </w:p>
    <w:p w:rsidR="004E685C" w:rsidRPr="006F14E5"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Hỗ trợ nhằm đảm bảo yêu cầu tối thiểu về cơ sở vật chất, thiết bị dạy học, đồ dùng, đồ chơi cho các điểm trường nơi chuyển đến;</w:t>
      </w:r>
    </w:p>
    <w:p w:rsidR="004E685C" w:rsidRPr="006F14E5"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Hỗ trợ việc đi lại của học sinh khi đến trường.</w:t>
      </w:r>
    </w:p>
    <w:p w:rsidR="004E685C" w:rsidRPr="006F14E5"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t>- Tăng cường công tác truyền thông, tuyên truyền, vận động để tạo sự đồng thuận cao từ phía phụ huynh học sinh và người dân trong việc sắp xếp, tổ chức lại các cơ sở giáo dục mầm non, phổ thông trước khi tổ chức thực hiện./.</w:t>
      </w:r>
    </w:p>
    <w:p w:rsidR="004E685C" w:rsidRPr="006F14E5" w:rsidRDefault="004E685C" w:rsidP="004E685C">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6F14E5">
        <w:rPr>
          <w:rFonts w:ascii="Times New Roman" w:eastAsia="Times New Roman" w:hAnsi="Times New Roman" w:cs="Times New Roman"/>
          <w:color w:val="000000"/>
          <w:sz w:val="28"/>
          <w:szCs w:val="2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808"/>
        <w:gridCol w:w="4048"/>
      </w:tblGrid>
      <w:tr w:rsidR="004E685C" w:rsidRPr="006F14E5" w:rsidTr="004E685C">
        <w:trPr>
          <w:tblCellSpacing w:w="0" w:type="dxa"/>
        </w:trPr>
        <w:tc>
          <w:tcPr>
            <w:tcW w:w="4808" w:type="dxa"/>
            <w:shd w:val="clear" w:color="auto" w:fill="FFFFFF"/>
            <w:tcMar>
              <w:top w:w="0" w:type="dxa"/>
              <w:left w:w="108" w:type="dxa"/>
              <w:bottom w:w="0" w:type="dxa"/>
              <w:right w:w="108" w:type="dxa"/>
            </w:tcMar>
            <w:hideMark/>
          </w:tcPr>
          <w:p w:rsidR="004E685C" w:rsidRPr="006F14E5" w:rsidRDefault="004E685C" w:rsidP="004E685C">
            <w:pPr>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color w:val="000000"/>
                <w:sz w:val="28"/>
                <w:szCs w:val="28"/>
                <w:lang w:val="vi-VN"/>
              </w:rPr>
              <w:br/>
            </w:r>
            <w:r w:rsidRPr="004E685C">
              <w:rPr>
                <w:rFonts w:ascii="Times New Roman" w:eastAsia="Times New Roman" w:hAnsi="Times New Roman" w:cs="Times New Roman"/>
                <w:b/>
                <w:bCs/>
                <w:i/>
                <w:iCs/>
                <w:color w:val="000000"/>
                <w:sz w:val="28"/>
                <w:szCs w:val="28"/>
                <w:lang w:val="vi-VN"/>
              </w:rPr>
              <w:t>Nơi nhận:</w:t>
            </w:r>
            <w:r w:rsidRPr="004E685C">
              <w:rPr>
                <w:rFonts w:ascii="Times New Roman" w:eastAsia="Times New Roman" w:hAnsi="Times New Roman" w:cs="Times New Roman"/>
                <w:b/>
                <w:bCs/>
                <w:i/>
                <w:iCs/>
                <w:color w:val="000000"/>
                <w:sz w:val="28"/>
                <w:szCs w:val="28"/>
                <w:lang w:val="vi-VN"/>
              </w:rPr>
              <w:br/>
            </w:r>
            <w:r w:rsidRPr="004E685C">
              <w:rPr>
                <w:rFonts w:ascii="Times New Roman" w:eastAsia="Times New Roman" w:hAnsi="Times New Roman" w:cs="Times New Roman"/>
                <w:color w:val="000000"/>
                <w:sz w:val="28"/>
                <w:szCs w:val="28"/>
                <w:lang w:val="vi-VN"/>
              </w:rPr>
              <w:t>- Như trên;</w:t>
            </w:r>
            <w:r w:rsidRPr="004E685C">
              <w:rPr>
                <w:rFonts w:ascii="Times New Roman" w:eastAsia="Times New Roman" w:hAnsi="Times New Roman" w:cs="Times New Roman"/>
                <w:color w:val="000000"/>
                <w:sz w:val="28"/>
                <w:szCs w:val="28"/>
                <w:lang w:val="vi-VN"/>
              </w:rPr>
              <w:br/>
              <w:t>- Thủ tướng Chính phủ (để b/c);</w:t>
            </w:r>
            <w:r w:rsidRPr="004E685C">
              <w:rPr>
                <w:rFonts w:ascii="Times New Roman" w:eastAsia="Times New Roman" w:hAnsi="Times New Roman" w:cs="Times New Roman"/>
                <w:color w:val="000000"/>
                <w:sz w:val="28"/>
                <w:szCs w:val="28"/>
                <w:lang w:val="vi-VN"/>
              </w:rPr>
              <w:br/>
              <w:t>- Phó Thủ tướng Vũ Đức Đam (để b/c);</w:t>
            </w:r>
            <w:r w:rsidRPr="004E685C">
              <w:rPr>
                <w:rFonts w:ascii="Times New Roman" w:eastAsia="Times New Roman" w:hAnsi="Times New Roman" w:cs="Times New Roman"/>
                <w:color w:val="000000"/>
                <w:sz w:val="28"/>
                <w:szCs w:val="28"/>
                <w:lang w:val="vi-VN"/>
              </w:rPr>
              <w:br/>
              <w:t>- Văn phòng Chính phủ;</w:t>
            </w:r>
            <w:r w:rsidRPr="004E685C">
              <w:rPr>
                <w:rFonts w:ascii="Times New Roman" w:eastAsia="Times New Roman" w:hAnsi="Times New Roman" w:cs="Times New Roman"/>
                <w:color w:val="000000"/>
                <w:sz w:val="28"/>
                <w:szCs w:val="28"/>
                <w:lang w:val="vi-VN"/>
              </w:rPr>
              <w:br/>
            </w:r>
            <w:r w:rsidRPr="004E685C">
              <w:rPr>
                <w:rFonts w:ascii="Times New Roman" w:eastAsia="Times New Roman" w:hAnsi="Times New Roman" w:cs="Times New Roman"/>
                <w:color w:val="000000"/>
                <w:sz w:val="28"/>
                <w:szCs w:val="28"/>
                <w:lang w:val="vi-VN"/>
              </w:rPr>
              <w:lastRenderedPageBreak/>
              <w:t>- Tỉnh ủy các tỉnh/TP trực thuộc TW (để phối hợp chỉ đạo);</w:t>
            </w:r>
            <w:r w:rsidRPr="004E685C">
              <w:rPr>
                <w:rFonts w:ascii="Times New Roman" w:eastAsia="Times New Roman" w:hAnsi="Times New Roman" w:cs="Times New Roman"/>
                <w:color w:val="000000"/>
                <w:sz w:val="28"/>
                <w:szCs w:val="28"/>
                <w:lang w:val="vi-VN"/>
              </w:rPr>
              <w:br/>
              <w:t>- Các Thứ trưởng (để chỉ đạo);</w:t>
            </w:r>
            <w:r w:rsidRPr="004E685C">
              <w:rPr>
                <w:rFonts w:ascii="Times New Roman" w:eastAsia="Times New Roman" w:hAnsi="Times New Roman" w:cs="Times New Roman"/>
                <w:color w:val="000000"/>
                <w:sz w:val="28"/>
                <w:szCs w:val="28"/>
                <w:lang w:val="vi-VN"/>
              </w:rPr>
              <w:br/>
              <w:t>- Các sở GDĐT (để tham mưu và thực hiện);</w:t>
            </w:r>
            <w:r w:rsidRPr="004E685C">
              <w:rPr>
                <w:rFonts w:ascii="Times New Roman" w:eastAsia="Times New Roman" w:hAnsi="Times New Roman" w:cs="Times New Roman"/>
                <w:color w:val="000000"/>
                <w:sz w:val="28"/>
                <w:szCs w:val="28"/>
                <w:lang w:val="vi-VN"/>
              </w:rPr>
              <w:br/>
              <w:t>- Các đơn vị chức năng của Bộ (phối hợp chỉ đạo);</w:t>
            </w:r>
            <w:r w:rsidRPr="004E685C">
              <w:rPr>
                <w:rFonts w:ascii="Times New Roman" w:eastAsia="Times New Roman" w:hAnsi="Times New Roman" w:cs="Times New Roman"/>
                <w:color w:val="000000"/>
                <w:sz w:val="28"/>
                <w:szCs w:val="28"/>
                <w:lang w:val="vi-VN"/>
              </w:rPr>
              <w:br/>
              <w:t>- Lưu: VT, CSVC.</w:t>
            </w:r>
          </w:p>
        </w:tc>
        <w:tc>
          <w:tcPr>
            <w:tcW w:w="4048" w:type="dxa"/>
            <w:shd w:val="clear" w:color="auto" w:fill="FFFFFF"/>
            <w:tcMar>
              <w:top w:w="0" w:type="dxa"/>
              <w:left w:w="108" w:type="dxa"/>
              <w:bottom w:w="0" w:type="dxa"/>
              <w:right w:w="108" w:type="dxa"/>
            </w:tcMar>
            <w:hideMark/>
          </w:tcPr>
          <w:p w:rsidR="004E685C" w:rsidRPr="006F14E5" w:rsidRDefault="004E685C" w:rsidP="004E685C">
            <w:pPr>
              <w:spacing w:before="120" w:after="120" w:line="234" w:lineRule="atLeast"/>
              <w:jc w:val="both"/>
              <w:rPr>
                <w:rFonts w:ascii="Times New Roman" w:eastAsia="Times New Roman" w:hAnsi="Times New Roman" w:cs="Times New Roman"/>
                <w:color w:val="000000"/>
                <w:sz w:val="28"/>
                <w:szCs w:val="28"/>
                <w:lang w:val="vi-VN"/>
              </w:rPr>
            </w:pPr>
            <w:r w:rsidRPr="004E685C">
              <w:rPr>
                <w:rFonts w:ascii="Times New Roman" w:eastAsia="Times New Roman" w:hAnsi="Times New Roman" w:cs="Times New Roman"/>
                <w:b/>
                <w:bCs/>
                <w:color w:val="000000"/>
                <w:sz w:val="28"/>
                <w:szCs w:val="28"/>
                <w:lang w:val="vi-VN"/>
              </w:rPr>
              <w:lastRenderedPageBreak/>
              <w:t>BỘ TRƯỞNG</w:t>
            </w:r>
            <w:r w:rsidRPr="006F14E5">
              <w:rPr>
                <w:rFonts w:ascii="Times New Roman" w:eastAsia="Times New Roman" w:hAnsi="Times New Roman" w:cs="Times New Roman"/>
                <w:b/>
                <w:bCs/>
                <w:color w:val="000000"/>
                <w:sz w:val="28"/>
                <w:szCs w:val="28"/>
                <w:lang w:val="vi-VN"/>
              </w:rPr>
              <w:br/>
            </w:r>
            <w:r w:rsidRPr="006F14E5">
              <w:rPr>
                <w:rFonts w:ascii="Times New Roman" w:eastAsia="Times New Roman" w:hAnsi="Times New Roman" w:cs="Times New Roman"/>
                <w:b/>
                <w:bCs/>
                <w:color w:val="000000"/>
                <w:sz w:val="28"/>
                <w:szCs w:val="28"/>
                <w:lang w:val="vi-VN"/>
              </w:rPr>
              <w:br/>
            </w:r>
            <w:r w:rsidRPr="006F14E5">
              <w:rPr>
                <w:rFonts w:ascii="Times New Roman" w:eastAsia="Times New Roman" w:hAnsi="Times New Roman" w:cs="Times New Roman"/>
                <w:b/>
                <w:bCs/>
                <w:color w:val="000000"/>
                <w:sz w:val="28"/>
                <w:szCs w:val="28"/>
                <w:lang w:val="vi-VN"/>
              </w:rPr>
              <w:br/>
            </w:r>
            <w:r w:rsidRPr="006F14E5">
              <w:rPr>
                <w:rFonts w:ascii="Times New Roman" w:eastAsia="Times New Roman" w:hAnsi="Times New Roman" w:cs="Times New Roman"/>
                <w:b/>
                <w:bCs/>
                <w:color w:val="000000"/>
                <w:sz w:val="28"/>
                <w:szCs w:val="28"/>
                <w:lang w:val="vi-VN"/>
              </w:rPr>
              <w:br/>
            </w:r>
            <w:r w:rsidRPr="004E685C">
              <w:rPr>
                <w:rFonts w:ascii="Times New Roman" w:eastAsia="Times New Roman" w:hAnsi="Times New Roman" w:cs="Times New Roman"/>
                <w:b/>
                <w:bCs/>
                <w:color w:val="000000"/>
                <w:sz w:val="28"/>
                <w:szCs w:val="28"/>
                <w:lang w:val="vi-VN"/>
              </w:rPr>
              <w:br/>
            </w:r>
            <w:r w:rsidRPr="006F14E5">
              <w:rPr>
                <w:rFonts w:ascii="Times New Roman" w:eastAsia="Times New Roman" w:hAnsi="Times New Roman" w:cs="Times New Roman"/>
                <w:b/>
                <w:bCs/>
                <w:color w:val="000000"/>
                <w:sz w:val="28"/>
                <w:szCs w:val="28"/>
                <w:lang w:val="vi-VN"/>
              </w:rPr>
              <w:lastRenderedPageBreak/>
              <w:t>Phù</w:t>
            </w:r>
            <w:r w:rsidRPr="004E685C">
              <w:rPr>
                <w:rFonts w:ascii="Times New Roman" w:eastAsia="Times New Roman" w:hAnsi="Times New Roman" w:cs="Times New Roman"/>
                <w:b/>
                <w:bCs/>
                <w:color w:val="000000"/>
                <w:sz w:val="28"/>
                <w:szCs w:val="28"/>
                <w:lang w:val="vi-VN"/>
              </w:rPr>
              <w:t>ng Xuân Nhạ</w:t>
            </w:r>
          </w:p>
        </w:tc>
      </w:tr>
    </w:tbl>
    <w:p w:rsidR="00926D8E" w:rsidRPr="006F14E5" w:rsidRDefault="00926D8E" w:rsidP="004E685C">
      <w:pPr>
        <w:jc w:val="both"/>
        <w:rPr>
          <w:rFonts w:ascii="Times New Roman" w:hAnsi="Times New Roman" w:cs="Times New Roman"/>
          <w:sz w:val="28"/>
          <w:szCs w:val="28"/>
          <w:lang w:val="vi-VN"/>
        </w:rPr>
      </w:pPr>
    </w:p>
    <w:sectPr w:rsidR="00926D8E" w:rsidRPr="006F14E5" w:rsidSect="006F14E5">
      <w:headerReference w:type="even" r:id="rId8"/>
      <w:headerReference w:type="default" r:id="rId9"/>
      <w:footerReference w:type="even" r:id="rId10"/>
      <w:footerReference w:type="default" r:id="rId11"/>
      <w:headerReference w:type="first" r:id="rId12"/>
      <w:footerReference w:type="first" r:id="rId13"/>
      <w:pgSz w:w="12240" w:h="15840"/>
      <w:pgMar w:top="568" w:right="900" w:bottom="709" w:left="1440" w:header="720" w:footer="1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7E2" w:rsidRDefault="00AF77E2" w:rsidP="006F14E5">
      <w:pPr>
        <w:spacing w:after="0" w:line="240" w:lineRule="auto"/>
      </w:pPr>
      <w:r>
        <w:separator/>
      </w:r>
    </w:p>
  </w:endnote>
  <w:endnote w:type="continuationSeparator" w:id="0">
    <w:p w:rsidR="00AF77E2" w:rsidRDefault="00AF77E2" w:rsidP="006F1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4E5" w:rsidRDefault="006F14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23908"/>
      <w:docPartObj>
        <w:docPartGallery w:val="Page Numbers (Bottom of Page)"/>
        <w:docPartUnique/>
      </w:docPartObj>
    </w:sdtPr>
    <w:sdtEndPr>
      <w:rPr>
        <w:noProof/>
      </w:rPr>
    </w:sdtEndPr>
    <w:sdtContent>
      <w:bookmarkStart w:id="0" w:name="_GoBack" w:displacedByCustomXml="prev"/>
      <w:bookmarkEnd w:id="0" w:displacedByCustomXml="prev"/>
      <w:p w:rsidR="006F14E5" w:rsidRDefault="006F14E5">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6F14E5" w:rsidRDefault="006F14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4E5" w:rsidRDefault="006F14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7E2" w:rsidRDefault="00AF77E2" w:rsidP="006F14E5">
      <w:pPr>
        <w:spacing w:after="0" w:line="240" w:lineRule="auto"/>
      </w:pPr>
      <w:r>
        <w:separator/>
      </w:r>
    </w:p>
  </w:footnote>
  <w:footnote w:type="continuationSeparator" w:id="0">
    <w:p w:rsidR="00AF77E2" w:rsidRDefault="00AF77E2" w:rsidP="006F14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4E5" w:rsidRDefault="006F14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4E5" w:rsidRDefault="006F14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4E5" w:rsidRDefault="006F14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85C"/>
    <w:rsid w:val="004E685C"/>
    <w:rsid w:val="006F14E5"/>
    <w:rsid w:val="00926D8E"/>
    <w:rsid w:val="00AF77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14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14E5"/>
  </w:style>
  <w:style w:type="paragraph" w:styleId="Footer">
    <w:name w:val="footer"/>
    <w:basedOn w:val="Normal"/>
    <w:link w:val="FooterChar"/>
    <w:uiPriority w:val="99"/>
    <w:unhideWhenUsed/>
    <w:rsid w:val="006F14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4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14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14E5"/>
  </w:style>
  <w:style w:type="paragraph" w:styleId="Footer">
    <w:name w:val="footer"/>
    <w:basedOn w:val="Normal"/>
    <w:link w:val="FooterChar"/>
    <w:uiPriority w:val="99"/>
    <w:unhideWhenUsed/>
    <w:rsid w:val="006F14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22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thuvienphapluat.vn/van-ban/bo-may-hanh-chinh/nghi-quyet-08-nq-cp-2018-chuong-trinh-hanh-dong-thuc-hien-nghi-quyet-19-nq-tw-373730.aspx"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2018-09-22T09:23:00Z</dcterms:created>
  <dcterms:modified xsi:type="dcterms:W3CDTF">2018-09-23T10:28:00Z</dcterms:modified>
</cp:coreProperties>
</file>